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-31115</wp:posOffset>
            </wp:positionV>
            <wp:extent cx="2305685" cy="3050540"/>
            <wp:effectExtent l="0" t="0" r="18415" b="16510"/>
            <wp:wrapSquare wrapText="bothSides"/>
            <wp:docPr id="2" name="图片 2" descr="4101031975042519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010319750425194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潘燕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女       出生年月：1975年4月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无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主任医师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领域：神经病学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本科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Email：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406311827@qq.com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个人简历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帕金森病及运动障碍疾病；痴呆等变性病；眩晕病；睡眠障碍等疾病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教学、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科研项目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或研究</w:t>
      </w:r>
      <w:r>
        <w:rPr>
          <w:rFonts w:hint="eastAsia" w:ascii="宋体" w:hAnsi="宋体" w:eastAsia="宋体" w:cs="宋体"/>
          <w:kern w:val="0"/>
          <w:sz w:val="32"/>
          <w:szCs w:val="32"/>
        </w:rPr>
        <w:t>成果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论文、专利专著、教材、成果获奖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科研：1.GM-1对帕金森病痴呆大鼠海马nAChRα7亚基的影响，自治区自然科学基金，7万，2017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主持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α7nAChR调控钙离子介导ERK信号通路改善帕金森病模型的机制研究，自治区自然科学基金，10万，2022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2025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主持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IL-17通过抑制miR-5701合成下调REPS1的表达促进阿尔茨海默症的发生发展，自治区自然科学基金，10万，2022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2025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参与；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miR-34b调控HSP70改善脑梗死损伤的机制研究；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自治区自然科学基金，10万，2022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2025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月，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参与；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应用蛋白芯片结合SELDI-TOF-MS检测新疆维药VAWI治疗矽肺纤维化患者血清差异蛋白表达的研究，国家自然科学地区基金项目，45万元，已结题，参与；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论文：1.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Yan Pan; Jing Zhu; Lina Cong; Yang Bai; Yaxin Ma; Yue Yang; Expression of nAChRα7 receptor in model rats with Parkinson’s disease dementia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.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BIOTECHN OLOGY &amp; BIOTECHNOLOGICAL EQUIPMENT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2021, 35(1): 117-123.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Jing Zhu, Ming Kong, Yan Pan, Bingfa； LAcute ischemic stroke with hemichorea as a clinical manifestation.NeuroendocrInol-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ogy Letters.2022,43（4）:227-232.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3.单唾液酸神经节苷脂对帕金森病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痴呆大鼠海马烟碱型乙酞胆碱受体α7亚基表达的影响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临床神经病学杂志, 2019, (04): 289-294.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第一作者；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4.单唾液酸神经节苷脂对帕金森病痴呆模型大鼠的保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护性治疗作用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，卒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中与神经疾病, 2019, 26(6): 702-705.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第一作者；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5.快眼动睡眠行为障碍与心率变异性的关系研究，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卒中与神经疾病, 2018, (04): 415-418.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第一作者；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6.血清尿酸与进行性核上性麻痹的相关性研究 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中风与神经疾病杂志, 2017, (10): 928-931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.通讯作者；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7.可逆性胼胝体压部病变综合征病例报道与文献复习，卒中与神经疾病，2018，25（1）：90-91，第一作者；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8.不同亚型帕金森病患者多导睡眠图的临床观察，临床神经病学杂志，2017，30（1）：37-40，第一作者；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社会兼职：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中国睡眠研究会西部委员会第一届委员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2.中国睡眠研究会睡眠障碍专业委员会青年委员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3.新疆维吾尔自治区抗癌协会第二届心理社会肿瘤学专业委员会委员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4.中国老年医学学会认知障碍分会委员。</w:t>
      </w:r>
    </w:p>
    <w:tbl>
      <w:tblPr>
        <w:tblStyle w:val="5"/>
        <w:tblpPr w:leftFromText="180" w:rightFromText="180" w:vertAnchor="text" w:horzAnchor="page" w:tblpX="1614" w:tblpY="2387"/>
        <w:tblOverlap w:val="never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6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研究方向：</w:t>
            </w:r>
          </w:p>
        </w:tc>
        <w:tc>
          <w:tcPr>
            <w:tcW w:w="4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帕金森病及运动障碍疾病；痴呆等变性病；眩晕病；睡眠障碍等疾病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3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</w:rPr>
              <w:t>教育经历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  <w:lang w:val="en-US" w:eastAsia="zh-CN"/>
              </w:rPr>
              <w:t>选填项）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strike/>
                <w:dstrike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</w:rPr>
              <w:t>工作经历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  <w:lang w:val="en-US" w:eastAsia="zh-CN"/>
              </w:rPr>
              <w:t>选填项）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strike/>
                <w:dstrike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任教课程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32"/>
                <w:szCs w:val="32"/>
                <w:lang w:val="en-US" w:eastAsia="zh-CN"/>
              </w:rPr>
              <w:t>选填项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：</w:t>
            </w:r>
          </w:p>
        </w:tc>
        <w:tc>
          <w:tcPr>
            <w:tcW w:w="4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</w:rPr>
              <w:t>代表性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  <w:lang w:val="en-US" w:eastAsia="zh-CN"/>
              </w:rPr>
              <w:t>教学、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</w:rPr>
              <w:t>科研项目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  <w:lang w:val="en-US" w:eastAsia="zh-CN"/>
              </w:rPr>
              <w:t>或研究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</w:rPr>
              <w:t>成果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  <w:lang w:val="en-US" w:eastAsia="zh-CN"/>
              </w:rPr>
              <w:t>论文、专利专著、教材、成果获奖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4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：1.GM-1对帕金森病痴呆大鼠海马nAChRα7亚基的影响，自治区自然科学基金，7万，2017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α7nAChR调控钙离子介导ERK信号通路改善帕金森病模型的机制研究，自治区自然科学基金，10万，2022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IL-17通过抑制miR-5701合成下调REPS1的表达促进阿尔茨海默症的发生发展，自治区自然科学基金，10万，2022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miR-34b调控HSP70改善脑梗死损伤的机制研究；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自治区自然科学基金，10万，2022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应用蛋白芯片结合SELDI-TOF-MS检测新疆维药VAWI治疗矽肺纤维化患者血清差异蛋白表达的研究，国家自然科学地区基金项目，45万元，已结题，参与；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：1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Yan Pan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; Jing Zhu; Lina Cong; Yang Bai; Yaxin Ma; Yue Yang; Expression of nAChRα7 receptor in model rats with Parkinson’s disease dementia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BIOTECHN OLOGY &amp; BIOTECHNOLOGICAL EQUIPMENT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2021, 35(1): 117-123.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Jing Zhu, Ming Kong,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Yan Pan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 Bingfa； LAcute ischemic stroke with hemichorea as a clinical manifestation.NeuroendocrInol-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ogy Letters.2022,43（4）:227-232.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3.单唾液酸神经节苷脂对帕金森病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痴呆大鼠海马烟碱型乙酞胆碱受体α7亚基表达的影响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临床神经病学杂志, 2019, (04): 289-294.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第一作者；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4.单唾液酸神经节苷脂对帕金森病痴呆模型大鼠的保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护性治疗作用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，卒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中与神经疾病, 2019, 26(6): 702-705.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第一作者；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5.快眼动睡眠行为障碍与心率变异性的关系研究，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卒中与神经疾病, 2018, (04): 415-418.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第一作者；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6.血清尿酸与进行性核上性麻痹的相关性研究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中风与神经疾病杂志, 2017, (10): 928-931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.通讯作者；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7.可逆性胼胝体压部病变综合征病例报道与文献复习，卒中与神经疾病，2018，25（1）：90-91，第一作者；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8.不同亚型帕金森病患者多导睡眠图的临床观察，临床神经病学杂志，2017，30（1）：37-40，第一作者；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highlight w:val="none"/>
              </w:rPr>
              <w:t>社会兼职：</w:t>
            </w:r>
          </w:p>
        </w:tc>
        <w:tc>
          <w:tcPr>
            <w:tcW w:w="4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中国睡眠研究会西部委员会第一届委员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中国睡眠研究会睡眠障碍专业委员会青年委员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;新疆维吾尔自治区抗癌协会第二届心理社会肿瘤学专业委员会委员;中国老年医学学会认知障碍分会委员。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具体事迹（必填）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如关心关爱学生、指导科研工作等</w:t>
            </w:r>
          </w:p>
        </w:tc>
        <w:tc>
          <w:tcPr>
            <w:tcW w:w="48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0" w:line="5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关心关爱学生，经常与学生谈心交流，帮助学生解决生活及学习中的困难；指导学生申报课题，培养学生科研能力；临床工作中培养学生临床思维能力和操作技能，指导学生顺利通过规培结业考试。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6C08B"/>
    <w:multiLevelType w:val="singleLevel"/>
    <w:tmpl w:val="2086C08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02E1A8"/>
    <w:multiLevelType w:val="singleLevel"/>
    <w:tmpl w:val="4902E1A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9A7EABD"/>
    <w:multiLevelType w:val="singleLevel"/>
    <w:tmpl w:val="79A7EAB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ZDcwYjZlNGU2NjBiZjVlMTA1NDY5M2U2ZjhhMWM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45EB0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3B055F"/>
    <w:rsid w:val="08D15B8E"/>
    <w:rsid w:val="09203EB9"/>
    <w:rsid w:val="0BB407FE"/>
    <w:rsid w:val="0C1D0A59"/>
    <w:rsid w:val="12F8712E"/>
    <w:rsid w:val="1B704881"/>
    <w:rsid w:val="2E8C6B22"/>
    <w:rsid w:val="30D74EC9"/>
    <w:rsid w:val="342561BF"/>
    <w:rsid w:val="3426438D"/>
    <w:rsid w:val="343E70BF"/>
    <w:rsid w:val="3590630E"/>
    <w:rsid w:val="38312021"/>
    <w:rsid w:val="390A2872"/>
    <w:rsid w:val="3D83400D"/>
    <w:rsid w:val="4E6915D0"/>
    <w:rsid w:val="4EF6508C"/>
    <w:rsid w:val="55C20305"/>
    <w:rsid w:val="59DB5C54"/>
    <w:rsid w:val="5A00756C"/>
    <w:rsid w:val="5D14047D"/>
    <w:rsid w:val="5D8458D8"/>
    <w:rsid w:val="5E595162"/>
    <w:rsid w:val="62DE6668"/>
    <w:rsid w:val="662758DD"/>
    <w:rsid w:val="66540967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1007</Words>
  <Characters>1461</Characters>
  <Lines>17</Lines>
  <Paragraphs>4</Paragraphs>
  <TotalTime>4</TotalTime>
  <ScaleCrop>false</ScaleCrop>
  <LinksUpToDate>false</LinksUpToDate>
  <CharactersWithSpaces>1565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2023-11-15T08:35:44Z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